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7890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EEDE9DF">
      <w:pPr>
        <w:spacing w:line="540" w:lineRule="exact"/>
        <w:jc w:val="center"/>
        <w:rPr>
          <w:rFonts w:ascii="方正小标宋_GBK" w:hAnsi="华文中宋" w:eastAsia="方正小标宋_GBK" w:cs="宋体"/>
          <w:b/>
          <w:kern w:val="0"/>
          <w:sz w:val="48"/>
          <w:szCs w:val="48"/>
        </w:rPr>
      </w:pPr>
    </w:p>
    <w:p w14:paraId="0886828B">
      <w:pPr>
        <w:spacing w:line="540" w:lineRule="exact"/>
        <w:jc w:val="center"/>
        <w:rPr>
          <w:rFonts w:ascii="方正小标宋_GBK" w:hAnsi="华文中宋" w:eastAsia="方正小标宋_GBK" w:cs="宋体"/>
          <w:b/>
          <w:kern w:val="0"/>
          <w:sz w:val="48"/>
          <w:szCs w:val="48"/>
        </w:rPr>
      </w:pPr>
    </w:p>
    <w:p w14:paraId="38B1E2D2">
      <w:pPr>
        <w:spacing w:line="540" w:lineRule="exact"/>
        <w:jc w:val="center"/>
        <w:rPr>
          <w:rFonts w:ascii="方正小标宋_GBK" w:hAnsi="华文中宋" w:eastAsia="方正小标宋_GBK" w:cs="宋体"/>
          <w:b/>
          <w:kern w:val="0"/>
          <w:sz w:val="48"/>
          <w:szCs w:val="48"/>
        </w:rPr>
      </w:pPr>
    </w:p>
    <w:p w14:paraId="5A6C50F5">
      <w:pPr>
        <w:spacing w:line="540" w:lineRule="exact"/>
        <w:jc w:val="center"/>
        <w:rPr>
          <w:rFonts w:ascii="方正小标宋_GBK" w:hAnsi="华文中宋" w:eastAsia="方正小标宋_GBK" w:cs="宋体"/>
          <w:b/>
          <w:kern w:val="0"/>
          <w:sz w:val="48"/>
          <w:szCs w:val="48"/>
        </w:rPr>
      </w:pPr>
    </w:p>
    <w:p w14:paraId="4E3C24AC">
      <w:pPr>
        <w:spacing w:line="540" w:lineRule="exact"/>
        <w:jc w:val="center"/>
        <w:rPr>
          <w:rFonts w:ascii="方正小标宋_GBK" w:hAnsi="华文中宋" w:eastAsia="方正小标宋_GBK" w:cs="宋体"/>
          <w:b/>
          <w:kern w:val="0"/>
          <w:sz w:val="48"/>
          <w:szCs w:val="48"/>
        </w:rPr>
      </w:pPr>
    </w:p>
    <w:p w14:paraId="2DE28B80">
      <w:pPr>
        <w:spacing w:line="540" w:lineRule="exact"/>
        <w:jc w:val="center"/>
        <w:rPr>
          <w:rFonts w:ascii="方正小标宋_GBK" w:hAnsi="华文中宋" w:eastAsia="方正小标宋_GBK" w:cs="宋体"/>
          <w:b/>
          <w:kern w:val="0"/>
          <w:sz w:val="48"/>
          <w:szCs w:val="48"/>
        </w:rPr>
      </w:pPr>
    </w:p>
    <w:p w14:paraId="78AA534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6747A1B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C17A483">
      <w:pPr>
        <w:spacing w:line="540" w:lineRule="exact"/>
        <w:jc w:val="center"/>
        <w:rPr>
          <w:rFonts w:ascii="华文中宋" w:hAnsi="华文中宋" w:eastAsia="华文中宋" w:cs="宋体"/>
          <w:b/>
          <w:kern w:val="0"/>
          <w:sz w:val="52"/>
          <w:szCs w:val="52"/>
        </w:rPr>
      </w:pPr>
    </w:p>
    <w:p w14:paraId="69FA69D0">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8C6F2F3">
      <w:pPr>
        <w:spacing w:line="700" w:lineRule="exact"/>
        <w:jc w:val="left"/>
        <w:rPr>
          <w:rFonts w:hint="eastAsia" w:hAnsi="宋体" w:eastAsia="仿宋_GB2312" w:cs="宋体"/>
          <w:kern w:val="0"/>
          <w:sz w:val="36"/>
          <w:szCs w:val="36"/>
        </w:rPr>
      </w:pPr>
    </w:p>
    <w:p w14:paraId="774DA60A">
      <w:pPr>
        <w:spacing w:line="700" w:lineRule="exact"/>
        <w:jc w:val="left"/>
        <w:rPr>
          <w:rFonts w:hint="eastAsia" w:hAnsi="宋体" w:eastAsia="仿宋_GB2312" w:cs="宋体"/>
          <w:kern w:val="0"/>
          <w:sz w:val="36"/>
          <w:szCs w:val="36"/>
        </w:rPr>
      </w:pPr>
    </w:p>
    <w:p w14:paraId="13E8EB9D">
      <w:pPr>
        <w:spacing w:line="700" w:lineRule="exact"/>
        <w:jc w:val="left"/>
        <w:rPr>
          <w:rFonts w:hint="eastAsia" w:hAnsi="宋体" w:eastAsia="仿宋_GB2312" w:cs="宋体"/>
          <w:kern w:val="0"/>
          <w:sz w:val="36"/>
          <w:szCs w:val="36"/>
          <w:lang w:eastAsia="zh-CN"/>
        </w:rPr>
      </w:pPr>
    </w:p>
    <w:p w14:paraId="22DCDA6F">
      <w:pPr>
        <w:spacing w:line="700" w:lineRule="exact"/>
        <w:jc w:val="left"/>
        <w:rPr>
          <w:rFonts w:hint="eastAsia" w:hAnsi="宋体" w:eastAsia="仿宋_GB2312" w:cs="宋体"/>
          <w:kern w:val="0"/>
          <w:sz w:val="36"/>
          <w:szCs w:val="36"/>
          <w:lang w:eastAsia="zh-CN"/>
        </w:rPr>
      </w:pPr>
    </w:p>
    <w:p w14:paraId="49EF2B34">
      <w:pPr>
        <w:spacing w:line="700" w:lineRule="exact"/>
        <w:jc w:val="left"/>
        <w:rPr>
          <w:rFonts w:hint="eastAsia" w:hAnsi="宋体" w:eastAsia="仿宋_GB2312" w:cs="宋体"/>
          <w:kern w:val="0"/>
          <w:sz w:val="36"/>
          <w:szCs w:val="36"/>
          <w:lang w:eastAsia="zh-CN"/>
        </w:rPr>
      </w:pPr>
    </w:p>
    <w:p w14:paraId="5DCF10FC">
      <w:pPr>
        <w:spacing w:line="700" w:lineRule="exact"/>
        <w:jc w:val="left"/>
        <w:rPr>
          <w:rFonts w:hint="eastAsia" w:hAnsi="宋体" w:eastAsia="仿宋_GB2312" w:cs="宋体"/>
          <w:kern w:val="0"/>
          <w:sz w:val="36"/>
          <w:szCs w:val="36"/>
          <w:lang w:eastAsia="zh-CN"/>
        </w:rPr>
      </w:pPr>
    </w:p>
    <w:p w14:paraId="048EF8EB">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克州科技发展研究所</w:t>
      </w:r>
    </w:p>
    <w:p w14:paraId="063E76C4">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29BA8D90">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813F1E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D89C19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1.部门工作职能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科技发展战略的规划，提出指导科技发展战略研究的参考建议；加强理论创新、思想创新和方法创新的研究，对科技发展起到引导和示范作用；坚持政府导向、科技需求为主的选题原则，积极与自治区科技发展战略研究院进行合作，开展科技工作前期调研、选题、查新的工作；接受政府部门、企业和研究机构、社团组织的委托进行政策提供和咨询工作；培养和建设科技战略人才骨干队伍，为科技发展和科技局的中心工作提供决策咨询；建立开放式的科技合作交流平台，做好科技信息服务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克州科技发展研究所编制数4，实有人数7人，其中：在职人数2人，退休人数5人。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加强理论学习。高度重视、加强领导、精心组织，切实学习贯彻落实习近平新时代中国特色社会主义思想、习近平总书记关于新疆工作重要指示精神以及习近平总书记关于脱贫攻坚重要讲话内容，在学懂、弄通、做实上下功夫，牢固树立“四个意识”，坚定“四个自信”，坚决维护习近平总书记在党中央和全党的核心地位、维护党中央权威和集中统一领导，自觉在思想上政治上行动上同以习近平同志为核心的党中央保持高度一致，聚焦总目标，打赢残疾人脱贫攻坚战。</w:t>
      </w:r>
      <w:r>
        <w:rPr>
          <w:rFonts w:hint="eastAsia" w:ascii="仿宋_GB2312" w:hAnsi="宋体" w:eastAsia="仿宋_GB2312"/>
          <w:b w:val="0"/>
          <w:bCs/>
          <w:sz w:val="32"/>
          <w:szCs w:val="32"/>
        </w:rPr>
        <w:cr/>
      </w:r>
      <w:r>
        <w:rPr>
          <w:rFonts w:hint="eastAsia" w:ascii="仿宋_GB2312" w:hAnsi="宋体" w:eastAsia="仿宋_GB2312"/>
          <w:b w:val="0"/>
          <w:bCs/>
          <w:sz w:val="32"/>
          <w:szCs w:val="32"/>
        </w:rPr>
        <w:t>　　（二）加强党建和党员管理工作。一是采取领学宣讲、党课辅导、交流讨论等方式，组织党员集中</w:t>
      </w:r>
      <w:r>
        <w:rPr>
          <w:rFonts w:hint="eastAsia" w:ascii="仿宋_GB2312" w:hAnsi="宋体" w:eastAsia="仿宋_GB2312"/>
          <w:b w:val="0"/>
          <w:bCs/>
          <w:sz w:val="32"/>
          <w:szCs w:val="32"/>
          <w:lang w:eastAsia="zh-CN"/>
        </w:rPr>
        <w:t>学习习近平新时代中国特色社会主义思想</w:t>
      </w:r>
      <w:r>
        <w:rPr>
          <w:rFonts w:hint="eastAsia" w:ascii="仿宋_GB2312" w:hAnsi="宋体" w:eastAsia="仿宋_GB2312"/>
          <w:b w:val="0"/>
          <w:bCs/>
          <w:sz w:val="32"/>
          <w:szCs w:val="32"/>
        </w:rPr>
        <w:t>、</w:t>
      </w:r>
      <w:r>
        <w:rPr>
          <w:rFonts w:hint="eastAsia" w:ascii="仿宋_GB2312" w:hAnsi="宋体" w:eastAsia="仿宋_GB2312"/>
          <w:b w:val="0"/>
          <w:bCs/>
          <w:sz w:val="32"/>
          <w:szCs w:val="32"/>
          <w:lang w:eastAsia="zh-CN"/>
        </w:rPr>
        <w:t>党的十九大精神</w:t>
      </w:r>
      <w:r>
        <w:rPr>
          <w:rFonts w:hint="eastAsia" w:ascii="仿宋_GB2312" w:hAnsi="宋体" w:eastAsia="仿宋_GB2312"/>
          <w:b w:val="0"/>
          <w:bCs/>
          <w:sz w:val="32"/>
          <w:szCs w:val="32"/>
        </w:rPr>
        <w:t>和党章，不断提高党员的思想理论水平，引导党员团结奋进、振奋精神，为完成各项工作任务和目标奠定扎实的思想基础。二是切实发挥党支部的战斗堡垒作用，严格制度和纪律，保证组织生活质量。坚持“三会一课”制度，召开党员大会、支部委员会和党员小组会议，支部书记每年度至少讲一次党课。三是完善并落实党内和机关的各项制度，督促党员干部执行到位。组织党员积极开展批评与自我批评，查找并改进自身的不足，倡导自我管理、自我教育、自我服务，强化党员干部的纪律观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加强廉政建设，执行总目标、落实治党责任。进一步强化党风廉政教育，定期组织廉政知识学习，观看廉政教育片，带头遵守党纪国法，带头讲党性、守原则，树立正确的世界观、人生观和价值观，从思想上筑起抵御腐朽思想侵蚀的坚固防线。完善与干部职工定期谈心谈话制度，疏导干部职工存在的不良情绪，提升工作的积极性和主动性，消除精神状态不佳、工作节奏不快等现象，教育引导干部职工立德慎言，防微杜渐，自觉抵制各种不正之风。</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科技发展研究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（2）收支管理：领导层是本单位收支业务管理的决策部门，负责审批单位收支业务等事项。涉及“三重一大”事项，根据《克州科技发展研究所集体决策制度》和《克州科技发展研究所项目管理办法》办理。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科技发展研究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科技发展研究所合同管理办法》相关规定，克州科技发展研究所领导班子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51.92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2021年度本单位年初批复部门预算资金总额为55.37万元，年中调减预算总额为3.45万元，调整后全年预算资金总额为51.92万元。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2021年度本单位部门整体支出资金总额为48.43万元，预算执行率为93.28%，预算调整率为6.23%。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年初政府采购预算数为3万元，实际政府采购数为0万元，政府采购执行率为0%。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67779C2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4B97686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为加强我单位预算管理、规范财务行为我单位制定了《科技发展研究所内部控制规范》《科技发展研究所项目管理规范》等资金管理制度，已建立制度均健全且有效运行。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2021年度我单位基本支出预算总额为51.92（全年预算数）万元，其中人员经费43.34（全年预算数）万元，公用经费8.58万元。实际执行总额为48.43（决算数）万元，预算执行率93.28%。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0万元，比上年减少0万元，减少0%，主要原因是：按照厉行节约的要求，2021年缩减公务车运行维护费，因此支出随之减少。其中，因公出国（境）费支出0万元；公务用车购置及运行维护费支出0万元；公务接待费支出0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与年初预算数相比情况：一般公共预算“三公”经费支出年初预算数0.2万元，预算执行数为0万元，执行率为0%，主要原因是：按照厉行节约的要求，2021年缩减公务车运行维护费，因此支出随之减少。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p>
    <w:p w14:paraId="7C60A55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25D8EF4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260B268F">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4F2A728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本单位2021年初资产合计数为14.02万元，年末资产合计数为11.62万元。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截止本年度固定资产账面净值2.56万元，年末实际在用固定资产2.56万元，固定资产利用率为100%。</w:t>
      </w:r>
    </w:p>
    <w:p w14:paraId="4B63C12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4592966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部门单位整体支出共设置一级指标3个，二级指标7个，三级指标10个，其中已完成三级指标8个，指标完成率为80%。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“保障人员工资（人）”指标：预期指标值为8，实际完成指标值为7，指标完成率为100%。偏差原因：2021年3月份减少两人，一人开除，一人退休。改进措施：认真做好年初预算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“开展科技工作前期调研次数（次）”预期指标值为2，实际完成指标值为2，指标完成率为100%。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“区域覆盖率（%）”指标：预期指标值为95%，实际完成指标值为95%，指标完成率为100%。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“各项工作按期开展及时率（%）”指标：预期指标值为95%，实际完成指标值为95%，指标完成率为100%。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“人员经费”指标：预期指标值为≤50.87万元，实际完成指标值为≤43.43万元，指标完成率为%。偏差原因：2021年3月份人员减少两人，一人开除，一人退休。改进措施：认真做好年初预算。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“公用经费”指标：预期指标值为≤4.5万元，实际完成指标值为≤4.5万元，指标完成率为100%。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“提高科技工作水平”指标：预期指标值为持续改善，实际完成指标值为持续改善，指标完成率为100%。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“持续提升科技发展研究质量”指标：预期指标值为持续提升，实际完成指标值为持续提升，指标完成率为100%。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（1）满意度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“受益工作人员满意度（%）”指标：预期指标值为95%，实际完成指标值为95%，指标完成率为100%。</w:t>
      </w:r>
    </w:p>
    <w:p w14:paraId="0FCAFD5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3773C72A">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62FEEB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5EDAE62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40100C8E"/>
    <w:rsid w:val="51C70EA9"/>
    <w:rsid w:val="54F842B6"/>
    <w:rsid w:val="6295464A"/>
    <w:rsid w:val="656071F2"/>
    <w:rsid w:val="6BF1756B"/>
    <w:rsid w:val="6F5E1AA3"/>
    <w:rsid w:val="728B3B6D"/>
    <w:rsid w:val="7F200B83"/>
    <w:rsid w:val="7F5D585A"/>
    <w:rsid w:val="7FE55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7111</Words>
  <Characters>7333</Characters>
  <Lines>2</Lines>
  <Paragraphs>1</Paragraphs>
  <TotalTime>29</TotalTime>
  <ScaleCrop>false</ScaleCrop>
  <LinksUpToDate>false</LinksUpToDate>
  <CharactersWithSpaces>7529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2025-07-31T03:13:23Z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